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-SA"/>
        </w:rPr>
        <w:t>建设工程质量司法鉴定培训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-SA"/>
        </w:rPr>
        <w:t>回执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12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24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-SA"/>
        </w:rPr>
        <w:t>单位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-SA"/>
        </w:rPr>
        <w:t>名称：</w:t>
      </w:r>
    </w:p>
    <w:tbl>
      <w:tblPr>
        <w:tblStyle w:val="2"/>
        <w:tblW w:w="8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2688"/>
        <w:gridCol w:w="2461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26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姓  名</w:t>
            </w:r>
          </w:p>
        </w:tc>
        <w:tc>
          <w:tcPr>
            <w:tcW w:w="246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职   务</w:t>
            </w:r>
          </w:p>
        </w:tc>
        <w:tc>
          <w:tcPr>
            <w:tcW w:w="24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联 系 方 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填表人：                          联系电话: 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（此表可加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56DE7"/>
    <w:rsid w:val="24A236E7"/>
    <w:rsid w:val="3D556DE7"/>
    <w:rsid w:val="708C4BC1"/>
    <w:rsid w:val="785F3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2019-07-31T01:49:00Z</dcterms:created>
  <dc:creator>Administrator</dc:creator>
  <cp:lastModifiedBy>zhuhuiqin</cp:lastModifiedBy>
  <dcterms:modified xsi:type="dcterms:W3CDTF">2019-12-11T01:56:34Z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